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54C35" w14:textId="785CF4A1" w:rsidR="00F20A18" w:rsidRDefault="00DD71F1" w:rsidP="00F20A18">
      <w:pPr>
        <w:spacing w:after="0" w:line="240" w:lineRule="auto"/>
        <w:jc w:val="right"/>
        <w:rPr>
          <w:sz w:val="15"/>
          <w:szCs w:val="15"/>
          <w:lang w:eastAsia="en-US"/>
        </w:rPr>
      </w:pPr>
      <w:r>
        <w:rPr>
          <w:noProof/>
          <w:sz w:val="15"/>
          <w:szCs w:val="15"/>
        </w:rPr>
        <w:drawing>
          <wp:anchor distT="0" distB="0" distL="114300" distR="114300" simplePos="0" relativeHeight="251659264" behindDoc="0" locked="0" layoutInCell="1" allowOverlap="1" wp14:anchorId="4E14DADF" wp14:editId="62248880">
            <wp:simplePos x="0" y="0"/>
            <wp:positionH relativeFrom="margin">
              <wp:posOffset>0</wp:posOffset>
            </wp:positionH>
            <wp:positionV relativeFrom="margin">
              <wp:posOffset>-80010</wp:posOffset>
            </wp:positionV>
            <wp:extent cx="668020" cy="7194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Work NSW logo BW.png"/>
                    <pic:cNvPicPr/>
                  </pic:nvPicPr>
                  <pic:blipFill>
                    <a:blip r:embed="rId7">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14:sizeRelH relativeFrom="margin">
              <wp14:pctWidth>0</wp14:pctWidth>
            </wp14:sizeRelH>
            <wp14:sizeRelV relativeFrom="margin">
              <wp14:pctHeight>0</wp14:pctHeight>
            </wp14:sizeRelV>
          </wp:anchor>
        </w:drawing>
      </w:r>
    </w:p>
    <w:p w14:paraId="20D42BBC" w14:textId="43ED0EC8" w:rsidR="00F20A18" w:rsidRDefault="00F20A18" w:rsidP="00F20A18">
      <w:pPr>
        <w:spacing w:after="0" w:line="240" w:lineRule="auto"/>
        <w:jc w:val="right"/>
        <w:rPr>
          <w:sz w:val="15"/>
          <w:szCs w:val="15"/>
          <w:lang w:eastAsia="en-US"/>
        </w:rPr>
      </w:pPr>
    </w:p>
    <w:p w14:paraId="0B07915F" w14:textId="0ED4ECDA" w:rsidR="00F20A18" w:rsidRDefault="00F20A18" w:rsidP="00F20A18">
      <w:pPr>
        <w:spacing w:after="0" w:line="240" w:lineRule="auto"/>
        <w:rPr>
          <w:sz w:val="15"/>
          <w:szCs w:val="15"/>
          <w:lang w:eastAsia="en-US"/>
        </w:rPr>
      </w:pPr>
    </w:p>
    <w:p w14:paraId="3C6096EB" w14:textId="77777777" w:rsidR="00F20A18" w:rsidRDefault="00F20A18" w:rsidP="00F20A18">
      <w:pPr>
        <w:spacing w:after="0" w:line="240" w:lineRule="auto"/>
        <w:jc w:val="right"/>
        <w:rPr>
          <w:sz w:val="15"/>
          <w:szCs w:val="15"/>
          <w:lang w:eastAsia="en-US"/>
        </w:rPr>
      </w:pPr>
      <w:bookmarkStart w:id="0" w:name="_GoBack"/>
      <w:bookmarkEnd w:id="0"/>
    </w:p>
    <w:p w14:paraId="44A17DBF" w14:textId="410C6A51" w:rsidR="00F20A18" w:rsidRPr="00F20A18" w:rsidRDefault="00F20A18" w:rsidP="00F20A18">
      <w:pPr>
        <w:spacing w:after="0" w:line="240" w:lineRule="auto"/>
        <w:jc w:val="right"/>
        <w:rPr>
          <w:sz w:val="15"/>
          <w:szCs w:val="15"/>
          <w:lang w:eastAsia="en-US"/>
        </w:rPr>
      </w:pPr>
      <w:r w:rsidRPr="00F20A18">
        <w:rPr>
          <w:sz w:val="15"/>
          <w:szCs w:val="15"/>
          <w:lang w:eastAsia="en-US"/>
        </w:rPr>
        <w:t>Work Health and Safety Act 2011 (WHS Act)</w:t>
      </w:r>
    </w:p>
    <w:p w14:paraId="06A16B89" w14:textId="0261D711" w:rsidR="00FE3A9D" w:rsidRDefault="00F20A18" w:rsidP="00F20A18">
      <w:pPr>
        <w:spacing w:after="0" w:line="240" w:lineRule="auto"/>
        <w:jc w:val="right"/>
        <w:rPr>
          <w:sz w:val="15"/>
          <w:szCs w:val="15"/>
          <w:lang w:eastAsia="en-US"/>
        </w:rPr>
      </w:pPr>
      <w:r w:rsidRPr="00F20A18">
        <w:rPr>
          <w:sz w:val="15"/>
          <w:szCs w:val="15"/>
          <w:lang w:eastAsia="en-US"/>
        </w:rPr>
        <w:t>Work Health and Safety Regulation (WHS Regulation</w:t>
      </w:r>
    </w:p>
    <w:p w14:paraId="20D54142" w14:textId="77777777" w:rsidR="00F20A18" w:rsidRPr="00F20A18" w:rsidRDefault="00F20A18" w:rsidP="00F20A18">
      <w:pPr>
        <w:spacing w:after="0" w:line="240" w:lineRule="auto"/>
        <w:jc w:val="right"/>
        <w:rPr>
          <w:sz w:val="15"/>
          <w:szCs w:val="15"/>
          <w:lang w:eastAsia="en-US"/>
        </w:rPr>
      </w:pPr>
    </w:p>
    <w:p w14:paraId="5006681F" w14:textId="66895163" w:rsidR="00F20A18" w:rsidRDefault="00F20A18" w:rsidP="00F20A18">
      <w:pPr>
        <w:spacing w:after="0" w:line="240" w:lineRule="auto"/>
        <w:jc w:val="right"/>
      </w:pPr>
    </w:p>
    <w:p w14:paraId="138B2796" w14:textId="77777777" w:rsidR="004F0D3E" w:rsidRPr="00FE3A9D" w:rsidRDefault="004F0D3E" w:rsidP="00F20A18">
      <w:pPr>
        <w:spacing w:after="0" w:line="240" w:lineRule="auto"/>
        <w:jc w:val="right"/>
      </w:pPr>
    </w:p>
    <w:p w14:paraId="41A41B23" w14:textId="157E9D1F" w:rsidR="00D63ADD" w:rsidRPr="00FF4C4B" w:rsidRDefault="00FF4C4B" w:rsidP="00341300">
      <w:pPr>
        <w:pStyle w:val="Heading1"/>
        <w:rPr>
          <w:highlight w:val="darkMagenta"/>
        </w:rPr>
      </w:pPr>
      <w:r w:rsidRPr="00FF4C4B">
        <w:rPr>
          <w:highlight w:val="darkMagenta"/>
        </w:rPr>
        <w:t>Appendix 6: Handy tips for taking video footage </w:t>
      </w:r>
    </w:p>
    <w:p w14:paraId="11CEFA55" w14:textId="77777777" w:rsidR="00E34D6E" w:rsidRDefault="00E34D6E" w:rsidP="00341300">
      <w:pPr>
        <w:pStyle w:val="Heading2"/>
      </w:pPr>
    </w:p>
    <w:p w14:paraId="2C6CA161" w14:textId="77777777" w:rsidR="00FF4C4B" w:rsidRDefault="00FF4C4B" w:rsidP="00FF4C4B">
      <w:pPr>
        <w:rPr>
          <w:b/>
          <w:i/>
          <w:iCs/>
        </w:rPr>
      </w:pPr>
      <w:r w:rsidRPr="00C51C0E">
        <w:t xml:space="preserve">The </w:t>
      </w:r>
      <w:proofErr w:type="spellStart"/>
      <w:r w:rsidRPr="00C51C0E">
        <w:t>PErforM</w:t>
      </w:r>
      <w:proofErr w:type="spellEnd"/>
      <w:r w:rsidRPr="00C51C0E">
        <w:t xml:space="preserve"> program focuses on the work your organisation’s workers do, so capturing good video and image data of these tasks is critical for the delivery of the </w:t>
      </w:r>
      <w:proofErr w:type="spellStart"/>
      <w:r w:rsidRPr="00C51C0E">
        <w:t>PErforM</w:t>
      </w:r>
      <w:proofErr w:type="spellEnd"/>
      <w:r w:rsidRPr="00C51C0E">
        <w:t xml:space="preserve"> workshops.</w:t>
      </w:r>
      <w:r w:rsidRPr="00C51C0E">
        <w:rPr>
          <w:b/>
          <w:i/>
          <w:iCs/>
        </w:rPr>
        <w:t> </w:t>
      </w:r>
    </w:p>
    <w:p w14:paraId="0C9CEB91" w14:textId="77777777" w:rsidR="00B03E51" w:rsidRPr="00C51C0E" w:rsidRDefault="00B03E51" w:rsidP="00FF4C4B"/>
    <w:p w14:paraId="5E77C7CD" w14:textId="77777777" w:rsidR="00FF4C4B" w:rsidRPr="00C51C0E" w:rsidRDefault="00FF4C4B" w:rsidP="00B03E51">
      <w:pPr>
        <w:pStyle w:val="Heading2"/>
        <w:spacing w:after="240"/>
      </w:pPr>
      <w:r w:rsidRPr="00C51C0E">
        <w:t>Tips for gathering video footage:</w:t>
      </w:r>
      <w:r w:rsidRPr="00C51C0E">
        <w:rPr>
          <w:b w:val="0"/>
          <w:i/>
          <w:iCs/>
        </w:rPr>
        <w:t> </w:t>
      </w:r>
    </w:p>
    <w:p w14:paraId="3438DAD7" w14:textId="355E62DD" w:rsidR="00FF4C4B" w:rsidRPr="00C51C0E" w:rsidRDefault="00FF4C4B" w:rsidP="00B03E51">
      <w:pPr>
        <w:pStyle w:val="ListParagraph"/>
        <w:numPr>
          <w:ilvl w:val="0"/>
          <w:numId w:val="16"/>
        </w:numPr>
        <w:ind w:left="714" w:hanging="357"/>
        <w:contextualSpacing w:val="0"/>
      </w:pPr>
      <w:r w:rsidRPr="00C51C0E">
        <w:t xml:space="preserve">Ensure the person using the video camera </w:t>
      </w:r>
      <w:proofErr w:type="gramStart"/>
      <w:r w:rsidRPr="00C51C0E">
        <w:t>has an understanding of</w:t>
      </w:r>
      <w:proofErr w:type="gramEnd"/>
      <w:r w:rsidRPr="00C51C0E">
        <w:t xml:space="preserve"> the hazardous manual tasks risk factors and the need to capture these risk factors on video.</w:t>
      </w:r>
      <w:r w:rsidRPr="00B03E51">
        <w:rPr>
          <w:b/>
          <w:i/>
          <w:iCs/>
        </w:rPr>
        <w:t> </w:t>
      </w:r>
    </w:p>
    <w:p w14:paraId="497ABA4B" w14:textId="6F669199" w:rsidR="00FF4C4B" w:rsidRPr="00C51C0E" w:rsidRDefault="00FF4C4B" w:rsidP="00B03E51">
      <w:pPr>
        <w:pStyle w:val="ListParagraph"/>
        <w:numPr>
          <w:ilvl w:val="0"/>
          <w:numId w:val="16"/>
        </w:numPr>
        <w:ind w:left="714" w:hanging="357"/>
        <w:contextualSpacing w:val="0"/>
      </w:pPr>
      <w:r w:rsidRPr="00C51C0E">
        <w:t xml:space="preserve">Ensure that the worker carrying out the task is videoed </w:t>
      </w:r>
      <w:proofErr w:type="gramStart"/>
      <w:r w:rsidRPr="00C51C0E">
        <w:t>actually doing</w:t>
      </w:r>
      <w:proofErr w:type="gramEnd"/>
      <w:r w:rsidRPr="00C51C0E">
        <w:t xml:space="preserve"> the task rather than a broad view of the work area.</w:t>
      </w:r>
      <w:r w:rsidRPr="00B03E51">
        <w:rPr>
          <w:b/>
          <w:i/>
          <w:iCs/>
        </w:rPr>
        <w:t> </w:t>
      </w:r>
    </w:p>
    <w:p w14:paraId="1B1069D6" w14:textId="7E3B07A0" w:rsidR="00FF4C4B" w:rsidRPr="00C51C0E" w:rsidRDefault="00FF4C4B" w:rsidP="00B03E51">
      <w:pPr>
        <w:pStyle w:val="ListParagraph"/>
        <w:numPr>
          <w:ilvl w:val="0"/>
          <w:numId w:val="16"/>
        </w:numPr>
        <w:ind w:left="714" w:hanging="357"/>
        <w:contextualSpacing w:val="0"/>
      </w:pPr>
      <w:r w:rsidRPr="00C51C0E">
        <w:t xml:space="preserve">Ensure affected body parts are captured at the best angle for viewing the risk factors and subsequent assessment. For example, a task with bent positions in the back is best videoed from the side. If a task poses a significant risk to a specific body part, e.g. the hand and fingers, zoom in on the specific body part as well as capturing the </w:t>
      </w:r>
      <w:proofErr w:type="gramStart"/>
      <w:r w:rsidRPr="00C51C0E">
        <w:t>whole body</w:t>
      </w:r>
      <w:proofErr w:type="gramEnd"/>
      <w:r w:rsidRPr="00C51C0E">
        <w:t xml:space="preserve"> position.</w:t>
      </w:r>
      <w:r w:rsidRPr="00B03E51">
        <w:rPr>
          <w:b/>
          <w:i/>
          <w:iCs/>
        </w:rPr>
        <w:t> </w:t>
      </w:r>
    </w:p>
    <w:p w14:paraId="5614DFF6" w14:textId="39A07F56" w:rsidR="00FF4C4B" w:rsidRPr="00C51C0E" w:rsidRDefault="00FF4C4B" w:rsidP="00B03E51">
      <w:pPr>
        <w:pStyle w:val="ListParagraph"/>
        <w:numPr>
          <w:ilvl w:val="0"/>
          <w:numId w:val="16"/>
        </w:numPr>
        <w:ind w:left="714" w:hanging="357"/>
        <w:contextualSpacing w:val="0"/>
      </w:pPr>
      <w:r w:rsidRPr="00C51C0E">
        <w:t>Ensure the person using the video camera has basic skills with videoing, i.e. zooming, minimising shaking and movement and lighting issues.</w:t>
      </w:r>
      <w:r w:rsidRPr="00B03E51">
        <w:rPr>
          <w:b/>
          <w:i/>
          <w:iCs/>
        </w:rPr>
        <w:t> </w:t>
      </w:r>
    </w:p>
    <w:p w14:paraId="3D5FD469" w14:textId="5D41CF25" w:rsidR="00FF4C4B" w:rsidRPr="00C51C0E" w:rsidRDefault="00FF4C4B" w:rsidP="00B03E51">
      <w:pPr>
        <w:pStyle w:val="ListParagraph"/>
        <w:numPr>
          <w:ilvl w:val="0"/>
          <w:numId w:val="16"/>
        </w:numPr>
        <w:ind w:left="714" w:hanging="357"/>
        <w:contextualSpacing w:val="0"/>
      </w:pPr>
      <w:r w:rsidRPr="00C51C0E">
        <w:t>Ensure enough detail of the task is captured on the footage and that the footage is long enough for the work team to analyse.</w:t>
      </w:r>
      <w:r w:rsidRPr="00B03E51">
        <w:rPr>
          <w:b/>
          <w:i/>
          <w:iCs/>
        </w:rPr>
        <w:t> </w:t>
      </w:r>
    </w:p>
    <w:p w14:paraId="4BF04730" w14:textId="40B4B487" w:rsidR="00FF4C4B" w:rsidRPr="00C51C0E" w:rsidRDefault="00FF4C4B" w:rsidP="00B03E51">
      <w:pPr>
        <w:pStyle w:val="ListParagraph"/>
        <w:numPr>
          <w:ilvl w:val="0"/>
          <w:numId w:val="16"/>
        </w:numPr>
        <w:ind w:left="714" w:hanging="357"/>
        <w:contextualSpacing w:val="0"/>
      </w:pPr>
      <w:r w:rsidRPr="00C51C0E">
        <w:t>Ensure the camera is easy to use and compatible for digital downloading onto a computer.</w:t>
      </w:r>
      <w:r w:rsidRPr="00B03E51">
        <w:rPr>
          <w:b/>
          <w:i/>
          <w:iCs/>
        </w:rPr>
        <w:t> </w:t>
      </w:r>
    </w:p>
    <w:p w14:paraId="685EF01A" w14:textId="6F7E8312" w:rsidR="00FF4C4B" w:rsidRPr="00C51C0E" w:rsidRDefault="00FF4C4B" w:rsidP="00B03E51">
      <w:pPr>
        <w:pStyle w:val="ListParagraph"/>
        <w:numPr>
          <w:ilvl w:val="0"/>
          <w:numId w:val="16"/>
        </w:numPr>
        <w:ind w:left="714" w:hanging="357"/>
        <w:contextualSpacing w:val="0"/>
      </w:pPr>
      <w:r w:rsidRPr="00C51C0E">
        <w:t>If taking video footage of a range of tasks, ensure basic information about the tasks is obtained i.e. the work team that does the task, the task being done, date footage was taken, names of workers, etc.</w:t>
      </w:r>
      <w:r w:rsidRPr="00B03E51">
        <w:rPr>
          <w:b/>
          <w:i/>
          <w:iCs/>
        </w:rPr>
        <w:t> </w:t>
      </w:r>
    </w:p>
    <w:p w14:paraId="07610843" w14:textId="6377362F" w:rsidR="00FF4C4B" w:rsidRPr="00C51C0E" w:rsidRDefault="00FF4C4B" w:rsidP="00B03E51">
      <w:pPr>
        <w:pStyle w:val="ListParagraph"/>
        <w:numPr>
          <w:ilvl w:val="0"/>
          <w:numId w:val="16"/>
        </w:numPr>
        <w:ind w:left="714" w:hanging="357"/>
        <w:contextualSpacing w:val="0"/>
      </w:pPr>
      <w:r w:rsidRPr="00C51C0E">
        <w:t>If the video footage is inserted in the PowerPoint presentation, ensure the presentation with video links is loaded on the hard drive of the laptop being used.</w:t>
      </w:r>
      <w:r w:rsidRPr="00B03E51">
        <w:rPr>
          <w:b/>
          <w:i/>
          <w:iCs/>
        </w:rPr>
        <w:t> </w:t>
      </w:r>
    </w:p>
    <w:p w14:paraId="3086AF42" w14:textId="77777777" w:rsidR="00FF4C4B" w:rsidRPr="00C51C0E" w:rsidRDefault="00FF4C4B" w:rsidP="00B03E51">
      <w:pPr>
        <w:pStyle w:val="ListParagraph"/>
        <w:numPr>
          <w:ilvl w:val="0"/>
          <w:numId w:val="16"/>
        </w:numPr>
        <w:ind w:left="714" w:hanging="357"/>
        <w:contextualSpacing w:val="0"/>
      </w:pPr>
      <w:r w:rsidRPr="00C51C0E">
        <w:t>Obtain image consents (if required) from workers. Organisations privacy requirements/obligations may vary.</w:t>
      </w:r>
      <w:r w:rsidRPr="00B03E51">
        <w:rPr>
          <w:b/>
          <w:i/>
          <w:iCs/>
        </w:rPr>
        <w:t> </w:t>
      </w:r>
    </w:p>
    <w:p w14:paraId="2932F35D" w14:textId="77777777" w:rsidR="0095759B" w:rsidRPr="000371A1" w:rsidRDefault="0095759B" w:rsidP="0095759B"/>
    <w:p w14:paraId="0292B771" w14:textId="77777777" w:rsidR="00FB20DA" w:rsidRPr="00FE3A9D" w:rsidRDefault="00FB20DA" w:rsidP="00FE3A9D"/>
    <w:sectPr w:rsidR="00FB20DA" w:rsidRPr="00FE3A9D" w:rsidSect="008A3FE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ACC01" w14:textId="77777777" w:rsidR="00F5343D" w:rsidRDefault="00F5343D" w:rsidP="00696D34">
      <w:pPr>
        <w:spacing w:after="0" w:line="240" w:lineRule="auto"/>
      </w:pPr>
      <w:r>
        <w:separator/>
      </w:r>
    </w:p>
  </w:endnote>
  <w:endnote w:type="continuationSeparator" w:id="0">
    <w:p w14:paraId="125F28D7" w14:textId="77777777" w:rsidR="00F5343D" w:rsidRDefault="00F5343D" w:rsidP="00696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 Light">
    <w:panose1 w:val="02000603030000020004"/>
    <w:charset w:val="00"/>
    <w:family w:val="auto"/>
    <w:pitch w:val="variable"/>
    <w:sig w:usb0="A00002FF" w:usb1="4000005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ok">
    <w:panose1 w:val="02000603040000020004"/>
    <w:charset w:val="00"/>
    <w:family w:val="auto"/>
    <w:pitch w:val="variable"/>
    <w:sig w:usb0="A00002FF" w:usb1="400000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C8ECD" w14:textId="77777777" w:rsidR="00696D34" w:rsidRDefault="00696D34" w:rsidP="002E2D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6E35C" w14:textId="77777777" w:rsidR="00696D34" w:rsidRDefault="00696D34" w:rsidP="00696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3760" w14:textId="3AA995BD" w:rsidR="00696D34" w:rsidRDefault="00696D34" w:rsidP="002E2D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1F1">
      <w:rPr>
        <w:rStyle w:val="PageNumber"/>
        <w:noProof/>
      </w:rPr>
      <w:t>1</w:t>
    </w:r>
    <w:r>
      <w:rPr>
        <w:rStyle w:val="PageNumber"/>
      </w:rPr>
      <w:fldChar w:fldCharType="end"/>
    </w:r>
  </w:p>
  <w:p w14:paraId="0193B19F" w14:textId="77777777" w:rsidR="00696D34" w:rsidRDefault="00696D34" w:rsidP="00696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FA474" w14:textId="77777777" w:rsidR="00F5343D" w:rsidRDefault="00F5343D" w:rsidP="00696D34">
      <w:pPr>
        <w:spacing w:after="0" w:line="240" w:lineRule="auto"/>
      </w:pPr>
      <w:r>
        <w:separator/>
      </w:r>
    </w:p>
  </w:footnote>
  <w:footnote w:type="continuationSeparator" w:id="0">
    <w:p w14:paraId="2A4146A4" w14:textId="77777777" w:rsidR="00F5343D" w:rsidRDefault="00F5343D" w:rsidP="00696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1B0"/>
    <w:multiLevelType w:val="hybridMultilevel"/>
    <w:tmpl w:val="1E9A5AF2"/>
    <w:lvl w:ilvl="0" w:tplc="224E7C38">
      <w:start w:val="3"/>
      <w:numFmt w:val="bullet"/>
      <w:lvlText w:val="•"/>
      <w:lvlJc w:val="left"/>
      <w:pPr>
        <w:ind w:left="1440" w:hanging="360"/>
      </w:pPr>
      <w:rPr>
        <w:rFonts w:ascii="Gotham Light" w:eastAsiaTheme="minorHAnsi" w:hAnsi="Gotham Light"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280117"/>
    <w:multiLevelType w:val="hybridMultilevel"/>
    <w:tmpl w:val="E0603E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36024"/>
    <w:multiLevelType w:val="hybridMultilevel"/>
    <w:tmpl w:val="202697BC"/>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76124"/>
    <w:multiLevelType w:val="hybridMultilevel"/>
    <w:tmpl w:val="CD863DF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37461"/>
    <w:multiLevelType w:val="hybridMultilevel"/>
    <w:tmpl w:val="FF18EE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54064"/>
    <w:multiLevelType w:val="hybridMultilevel"/>
    <w:tmpl w:val="CE2E4812"/>
    <w:lvl w:ilvl="0" w:tplc="00000001">
      <w:start w:val="1"/>
      <w:numFmt w:val="bullet"/>
      <w:lvlText w:val="•"/>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BE6546"/>
    <w:multiLevelType w:val="hybridMultilevel"/>
    <w:tmpl w:val="D53CEE66"/>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FD1878"/>
    <w:multiLevelType w:val="hybridMultilevel"/>
    <w:tmpl w:val="DFBEF5B6"/>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E7622"/>
    <w:multiLevelType w:val="hybridMultilevel"/>
    <w:tmpl w:val="738C52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60EA1"/>
    <w:multiLevelType w:val="hybridMultilevel"/>
    <w:tmpl w:val="E20EF6D8"/>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A5680"/>
    <w:multiLevelType w:val="hybridMultilevel"/>
    <w:tmpl w:val="F42C059E"/>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281DD6"/>
    <w:multiLevelType w:val="hybridMultilevel"/>
    <w:tmpl w:val="B41896B8"/>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85B59"/>
    <w:multiLevelType w:val="hybridMultilevel"/>
    <w:tmpl w:val="4D3443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E920E1"/>
    <w:multiLevelType w:val="hybridMultilevel"/>
    <w:tmpl w:val="22EE6778"/>
    <w:lvl w:ilvl="0" w:tplc="224E7C38">
      <w:start w:val="3"/>
      <w:numFmt w:val="bullet"/>
      <w:lvlText w:val="•"/>
      <w:lvlJc w:val="left"/>
      <w:pPr>
        <w:ind w:left="720" w:hanging="360"/>
      </w:pPr>
      <w:rPr>
        <w:rFonts w:ascii="Gotham Light" w:eastAsiaTheme="minorHAnsi" w:hAnsi="Gotham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D0BE0"/>
    <w:multiLevelType w:val="hybridMultilevel"/>
    <w:tmpl w:val="A0DC9D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C7C0733"/>
    <w:multiLevelType w:val="hybridMultilevel"/>
    <w:tmpl w:val="C3C05598"/>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7"/>
  </w:num>
  <w:num w:numId="5">
    <w:abstractNumId w:val="6"/>
  </w:num>
  <w:num w:numId="6">
    <w:abstractNumId w:val="9"/>
  </w:num>
  <w:num w:numId="7">
    <w:abstractNumId w:val="13"/>
  </w:num>
  <w:num w:numId="8">
    <w:abstractNumId w:val="0"/>
  </w:num>
  <w:num w:numId="9">
    <w:abstractNumId w:val="2"/>
  </w:num>
  <w:num w:numId="10">
    <w:abstractNumId w:val="5"/>
  </w:num>
  <w:num w:numId="11">
    <w:abstractNumId w:val="15"/>
  </w:num>
  <w:num w:numId="12">
    <w:abstractNumId w:val="14"/>
  </w:num>
  <w:num w:numId="13">
    <w:abstractNumId w:val="8"/>
  </w:num>
  <w:num w:numId="14">
    <w:abstractNumId w:val="1"/>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ADD"/>
    <w:rsid w:val="00126B83"/>
    <w:rsid w:val="00161DF9"/>
    <w:rsid w:val="00185407"/>
    <w:rsid w:val="0026104C"/>
    <w:rsid w:val="002A6B18"/>
    <w:rsid w:val="003063DE"/>
    <w:rsid w:val="00341300"/>
    <w:rsid w:val="00376973"/>
    <w:rsid w:val="00476682"/>
    <w:rsid w:val="004F0D3E"/>
    <w:rsid w:val="00573C86"/>
    <w:rsid w:val="005E50E0"/>
    <w:rsid w:val="00601CF1"/>
    <w:rsid w:val="00696D34"/>
    <w:rsid w:val="007656C6"/>
    <w:rsid w:val="007B1663"/>
    <w:rsid w:val="007E665B"/>
    <w:rsid w:val="008A3FE3"/>
    <w:rsid w:val="008A5282"/>
    <w:rsid w:val="008F748C"/>
    <w:rsid w:val="00917D3A"/>
    <w:rsid w:val="00941D3C"/>
    <w:rsid w:val="0095759B"/>
    <w:rsid w:val="009D5C6E"/>
    <w:rsid w:val="00A350BB"/>
    <w:rsid w:val="00B03E51"/>
    <w:rsid w:val="00B81C42"/>
    <w:rsid w:val="00BF0159"/>
    <w:rsid w:val="00CE460E"/>
    <w:rsid w:val="00D63ADD"/>
    <w:rsid w:val="00D95A65"/>
    <w:rsid w:val="00DD71F1"/>
    <w:rsid w:val="00E34D6E"/>
    <w:rsid w:val="00E71CC5"/>
    <w:rsid w:val="00F20A18"/>
    <w:rsid w:val="00F5343D"/>
    <w:rsid w:val="00F64A18"/>
    <w:rsid w:val="00FB20DA"/>
    <w:rsid w:val="00FE3A9D"/>
    <w:rsid w:val="00FF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54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A9D"/>
    <w:pPr>
      <w:spacing w:after="120" w:line="276" w:lineRule="auto"/>
    </w:pPr>
    <w:rPr>
      <w:rFonts w:ascii="Gotham Light" w:hAnsi="Gotham Light" w:cs="Arial"/>
      <w:sz w:val="22"/>
      <w:szCs w:val="22"/>
      <w:lang w:eastAsia="en-GB"/>
    </w:rPr>
  </w:style>
  <w:style w:type="paragraph" w:styleId="Heading1">
    <w:name w:val="heading 1"/>
    <w:basedOn w:val="Normal"/>
    <w:next w:val="Normal"/>
    <w:link w:val="Heading1Char"/>
    <w:uiPriority w:val="9"/>
    <w:qFormat/>
    <w:rsid w:val="00376973"/>
    <w:pPr>
      <w:outlineLvl w:val="0"/>
    </w:pPr>
    <w:rPr>
      <w:color w:val="FFFFFF" w:themeColor="background1"/>
      <w:sz w:val="36"/>
      <w:szCs w:val="36"/>
    </w:rPr>
  </w:style>
  <w:style w:type="paragraph" w:styleId="Heading2">
    <w:name w:val="heading 2"/>
    <w:basedOn w:val="Normal"/>
    <w:next w:val="Normal"/>
    <w:link w:val="Heading2Char"/>
    <w:uiPriority w:val="9"/>
    <w:unhideWhenUsed/>
    <w:qFormat/>
    <w:rsid w:val="00FE3A9D"/>
    <w:pPr>
      <w:spacing w:before="120"/>
      <w:outlineLvl w:val="1"/>
    </w:pPr>
    <w:rPr>
      <w:rFonts w:ascii="Gotham Book" w:hAnsi="Gotham Book"/>
      <w:b/>
      <w:bCs/>
    </w:rPr>
  </w:style>
  <w:style w:type="paragraph" w:styleId="Heading3">
    <w:name w:val="heading 3"/>
    <w:basedOn w:val="Normal"/>
    <w:next w:val="Normal"/>
    <w:link w:val="Heading3Char"/>
    <w:uiPriority w:val="9"/>
    <w:unhideWhenUsed/>
    <w:qFormat/>
    <w:rsid w:val="00376973"/>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A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A9D"/>
    <w:rPr>
      <w:rFonts w:asciiTheme="majorHAnsi" w:eastAsiaTheme="majorEastAsia" w:hAnsiTheme="majorHAnsi" w:cstheme="majorBidi"/>
      <w:spacing w:val="-10"/>
      <w:kern w:val="28"/>
      <w:sz w:val="56"/>
      <w:szCs w:val="56"/>
      <w:lang w:eastAsia="en-GB"/>
    </w:rPr>
  </w:style>
  <w:style w:type="character" w:styleId="Hyperlink">
    <w:name w:val="Hyperlink"/>
    <w:basedOn w:val="DefaultParagraphFont"/>
    <w:uiPriority w:val="99"/>
    <w:unhideWhenUsed/>
    <w:rsid w:val="00476682"/>
    <w:rPr>
      <w:color w:val="0563C1" w:themeColor="hyperlink"/>
      <w:u w:val="single"/>
    </w:rPr>
  </w:style>
  <w:style w:type="paragraph" w:styleId="ListParagraph">
    <w:name w:val="List Paragraph"/>
    <w:basedOn w:val="Normal"/>
    <w:uiPriority w:val="34"/>
    <w:qFormat/>
    <w:rsid w:val="00376973"/>
    <w:pPr>
      <w:ind w:left="720"/>
      <w:contextualSpacing/>
    </w:pPr>
  </w:style>
  <w:style w:type="character" w:styleId="Emphasis">
    <w:name w:val="Emphasis"/>
    <w:basedOn w:val="DefaultParagraphFont"/>
    <w:uiPriority w:val="20"/>
    <w:qFormat/>
    <w:rsid w:val="00376973"/>
    <w:rPr>
      <w:b/>
      <w:i/>
      <w:iCs/>
    </w:rPr>
  </w:style>
  <w:style w:type="character" w:customStyle="1" w:styleId="Heading3Char">
    <w:name w:val="Heading 3 Char"/>
    <w:basedOn w:val="DefaultParagraphFont"/>
    <w:link w:val="Heading3"/>
    <w:uiPriority w:val="9"/>
    <w:rsid w:val="00376973"/>
    <w:rPr>
      <w:rFonts w:ascii="Gotham Light" w:hAnsi="Gotham Light" w:cs="Arial"/>
      <w:b/>
      <w:sz w:val="22"/>
      <w:szCs w:val="22"/>
      <w:lang w:eastAsia="en-GB"/>
    </w:rPr>
  </w:style>
  <w:style w:type="paragraph" w:styleId="Header">
    <w:name w:val="header"/>
    <w:basedOn w:val="Normal"/>
    <w:link w:val="HeaderChar"/>
    <w:uiPriority w:val="99"/>
    <w:unhideWhenUsed/>
    <w:rsid w:val="00696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D34"/>
    <w:rPr>
      <w:rFonts w:ascii="Gotham Light" w:hAnsi="Gotham Light" w:cs="Arial"/>
      <w:sz w:val="22"/>
      <w:szCs w:val="22"/>
      <w:lang w:eastAsia="en-GB"/>
    </w:rPr>
  </w:style>
  <w:style w:type="paragraph" w:styleId="Footer">
    <w:name w:val="footer"/>
    <w:basedOn w:val="Normal"/>
    <w:link w:val="FooterChar"/>
    <w:uiPriority w:val="99"/>
    <w:unhideWhenUsed/>
    <w:rsid w:val="00696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34"/>
    <w:rPr>
      <w:rFonts w:ascii="Gotham Light" w:hAnsi="Gotham Light" w:cs="Arial"/>
      <w:sz w:val="22"/>
      <w:szCs w:val="22"/>
      <w:lang w:eastAsia="en-GB"/>
    </w:rPr>
  </w:style>
  <w:style w:type="character" w:customStyle="1" w:styleId="Heading1Char">
    <w:name w:val="Heading 1 Char"/>
    <w:basedOn w:val="DefaultParagraphFont"/>
    <w:link w:val="Heading1"/>
    <w:uiPriority w:val="9"/>
    <w:rsid w:val="00376973"/>
    <w:rPr>
      <w:rFonts w:ascii="Gotham Light" w:hAnsi="Gotham Light" w:cs="Arial"/>
      <w:color w:val="FFFFFF" w:themeColor="background1"/>
      <w:sz w:val="36"/>
      <w:szCs w:val="36"/>
      <w:lang w:eastAsia="en-GB"/>
    </w:rPr>
  </w:style>
  <w:style w:type="character" w:customStyle="1" w:styleId="Heading2Char">
    <w:name w:val="Heading 2 Char"/>
    <w:basedOn w:val="DefaultParagraphFont"/>
    <w:link w:val="Heading2"/>
    <w:uiPriority w:val="9"/>
    <w:rsid w:val="00FE3A9D"/>
    <w:rPr>
      <w:rFonts w:ascii="Gotham Book" w:hAnsi="Gotham Book" w:cs="Arial"/>
      <w:b/>
      <w:bCs/>
      <w:lang w:eastAsia="en-GB"/>
    </w:rPr>
  </w:style>
  <w:style w:type="character" w:styleId="PageNumber">
    <w:name w:val="page number"/>
    <w:basedOn w:val="DefaultParagraphFont"/>
    <w:uiPriority w:val="99"/>
    <w:semiHidden/>
    <w:unhideWhenUsed/>
    <w:rsid w:val="00696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199254">
      <w:bodyDiv w:val="1"/>
      <w:marLeft w:val="0"/>
      <w:marRight w:val="0"/>
      <w:marTop w:val="0"/>
      <w:marBottom w:val="0"/>
      <w:divBdr>
        <w:top w:val="none" w:sz="0" w:space="0" w:color="auto"/>
        <w:left w:val="none" w:sz="0" w:space="0" w:color="auto"/>
        <w:bottom w:val="none" w:sz="0" w:space="0" w:color="auto"/>
        <w:right w:val="none" w:sz="0" w:space="0" w:color="auto"/>
      </w:divBdr>
    </w:div>
    <w:div w:id="606667612">
      <w:bodyDiv w:val="1"/>
      <w:marLeft w:val="0"/>
      <w:marRight w:val="0"/>
      <w:marTop w:val="0"/>
      <w:marBottom w:val="0"/>
      <w:divBdr>
        <w:top w:val="none" w:sz="0" w:space="0" w:color="auto"/>
        <w:left w:val="none" w:sz="0" w:space="0" w:color="auto"/>
        <w:bottom w:val="none" w:sz="0" w:space="0" w:color="auto"/>
        <w:right w:val="none" w:sz="0" w:space="0" w:color="auto"/>
      </w:divBdr>
    </w:div>
    <w:div w:id="1245799182">
      <w:bodyDiv w:val="1"/>
      <w:marLeft w:val="0"/>
      <w:marRight w:val="0"/>
      <w:marTop w:val="0"/>
      <w:marBottom w:val="0"/>
      <w:divBdr>
        <w:top w:val="none" w:sz="0" w:space="0" w:color="auto"/>
        <w:left w:val="none" w:sz="0" w:space="0" w:color="auto"/>
        <w:bottom w:val="none" w:sz="0" w:space="0" w:color="auto"/>
        <w:right w:val="none" w:sz="0" w:space="0" w:color="auto"/>
      </w:divBdr>
    </w:div>
    <w:div w:id="1276215068">
      <w:bodyDiv w:val="1"/>
      <w:marLeft w:val="0"/>
      <w:marRight w:val="0"/>
      <w:marTop w:val="0"/>
      <w:marBottom w:val="0"/>
      <w:divBdr>
        <w:top w:val="none" w:sz="0" w:space="0" w:color="auto"/>
        <w:left w:val="none" w:sz="0" w:space="0" w:color="auto"/>
        <w:bottom w:val="none" w:sz="0" w:space="0" w:color="auto"/>
        <w:right w:val="none" w:sz="0" w:space="0" w:color="auto"/>
      </w:divBdr>
    </w:div>
    <w:div w:id="1748306170">
      <w:bodyDiv w:val="1"/>
      <w:marLeft w:val="0"/>
      <w:marRight w:val="0"/>
      <w:marTop w:val="0"/>
      <w:marBottom w:val="0"/>
      <w:divBdr>
        <w:top w:val="none" w:sz="0" w:space="0" w:color="auto"/>
        <w:left w:val="none" w:sz="0" w:space="0" w:color="auto"/>
        <w:bottom w:val="none" w:sz="0" w:space="0" w:color="auto"/>
        <w:right w:val="none" w:sz="0" w:space="0" w:color="auto"/>
      </w:divBdr>
    </w:div>
    <w:div w:id="2143885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Appendix 1: PErforM for work teams workshop      .  preparation guidelines. .</vt:lpstr>
      <vt:lpstr>    </vt:lpstr>
      <vt:lpstr>    Tasks to complete </vt:lpstr>
      <vt:lpstr>    4 weeks prior: </vt:lpstr>
      <vt:lpstr>    2 weeks prior: </vt:lpstr>
      <vt:lpstr>    1 week prior (or pre-workshop): </vt:lpstr>
      <vt:lpstr>    Workshop materials:</vt:lpstr>
      <vt:lpstr>    PErforM for work teams workshop plan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Underwood</dc:creator>
  <cp:keywords/>
  <dc:description/>
  <cp:lastModifiedBy>Johnston, Janine</cp:lastModifiedBy>
  <cp:revision>5</cp:revision>
  <cp:lastPrinted>2018-10-07T11:22:00Z</cp:lastPrinted>
  <dcterms:created xsi:type="dcterms:W3CDTF">2018-10-07T11:24:00Z</dcterms:created>
  <dcterms:modified xsi:type="dcterms:W3CDTF">2018-11-06T01:25:00Z</dcterms:modified>
</cp:coreProperties>
</file>